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98" w:rsidRDefault="00865498" w:rsidP="00865498">
      <w:pPr>
        <w:pStyle w:val="1"/>
      </w:pPr>
      <w:r>
        <w:t>(16752-77-5)毒品) 灭多虫的理化及危险特性表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25"/>
        <w:gridCol w:w="630"/>
        <w:gridCol w:w="1961"/>
        <w:gridCol w:w="2170"/>
      </w:tblGrid>
      <w:tr w:rsidR="0086549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灭多虫 </w:t>
            </w:r>
            <w:r>
              <w:rPr>
                <w:rFonts w:ascii="宋体" w:hAnsi="宋体"/>
                <w:szCs w:val="19"/>
              </w:rPr>
              <w:t>；</w:t>
            </w:r>
            <w:r>
              <w:rPr>
                <w:rFonts w:ascii="宋体" w:hAnsi="宋体" w:hint="eastAsia"/>
              </w:rPr>
              <w:t>灭多威；灭索威；乙肟威</w:t>
            </w:r>
            <w:r>
              <w:rPr>
                <w:rFonts w:ascii="宋体" w:hAnsi="宋体" w:hint="eastAsia"/>
                <w:szCs w:val="18"/>
              </w:rPr>
              <w:t>。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 w:hint="eastAsia"/>
                <w:szCs w:val="18"/>
              </w:rPr>
              <w:t>Methomyl。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5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10</w:t>
            </w:r>
            <w:r>
              <w:rPr>
                <w:rFonts w:ascii="宋体" w:hAnsi="宋体" w:hint="eastAsia"/>
                <w:szCs w:val="18"/>
              </w:rPr>
              <w:t>N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O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</w:t>
            </w:r>
            <w:r>
              <w:rPr>
                <w:rFonts w:ascii="宋体" w:hAnsi="宋体" w:hint="eastAsia"/>
                <w:szCs w:val="18"/>
              </w:rPr>
              <w:t>162.23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 w:hint="eastAsia"/>
                <w:szCs w:val="18"/>
              </w:rPr>
              <w:t>2771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危规号：61888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16752-77-5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白色晶状固体，略具有硫磺的气味。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溶于水。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</w:t>
            </w:r>
            <w:r>
              <w:rPr>
                <w:rFonts w:ascii="宋体" w:hAnsi="宋体" w:hint="eastAsia"/>
                <w:szCs w:val="18"/>
              </w:rPr>
              <w:t>78~79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</w:t>
            </w:r>
            <w:r>
              <w:rPr>
                <w:rFonts w:ascii="宋体" w:hAnsi="宋体" w:hint="eastAsia"/>
                <w:szCs w:val="18"/>
              </w:rPr>
              <w:t>1.29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865498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闪点（℃）：无资料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稳定性：稳定 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聚合危害：不聚合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燃烧分解产物：</w:t>
            </w:r>
            <w:r>
              <w:rPr>
                <w:rFonts w:ascii="宋体" w:hAnsi="宋体" w:hint="eastAsia"/>
                <w:szCs w:val="18"/>
              </w:rPr>
              <w:t>一氧化碳、二氧化碳、氧化氮、氧化硫。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强氧化剂、碱类。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遇明火、高热可燃。受热分解，放出氮、硫的氧化物等毒性气体。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消防人员须戴好防毒面具，在安全距离以外，在上风向灭火。灭火剂：雾状水、泡沫、干粉、二氧化碳、砂土。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10 mg/kg(小鼠经口)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：无资料</w:t>
            </w:r>
          </w:p>
        </w:tc>
      </w:tr>
      <w:tr w:rsidR="00865498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865498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主要出现胆碱能的危象。主要症状包括流涎、流泪、视力模糊、震颤、惊厥、精神错乱、昏迷、恶心、呕吐、腹泻、腹痛，最后呼吸衰竭而死亡。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 xml:space="preserve">脱去污染的衣着，用大量流动清水冲洗。   </w:t>
            </w:r>
            <w:r>
              <w:rPr>
                <w:rFonts w:ascii="宋体" w:hAnsi="宋体" w:hint="eastAsia"/>
                <w:bCs/>
              </w:rPr>
              <w:t xml:space="preserve"> ※眼睛接触：</w:t>
            </w:r>
            <w:r>
              <w:rPr>
                <w:rFonts w:ascii="宋体" w:hAnsi="宋体" w:hint="eastAsia"/>
                <w:szCs w:val="18"/>
              </w:rPr>
              <w:t>提起眼睑，用流动清水或生理盐水冲洗。就医。</w:t>
            </w:r>
            <w:r>
              <w:rPr>
                <w:rFonts w:ascii="宋体" w:hAnsi="宋体" w:hint="eastAsia"/>
              </w:rPr>
              <w:t xml:space="preserve">    ※吸入：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※食入：</w:t>
            </w:r>
            <w:r>
              <w:rPr>
                <w:rFonts w:ascii="宋体" w:hAnsi="宋体" w:hint="eastAsia"/>
                <w:szCs w:val="18"/>
              </w:rPr>
              <w:t>饮足量温水，催吐。洗胃，导泄。就医。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密闭操作，局部排风。</w:t>
            </w:r>
            <w:r>
              <w:rPr>
                <w:rFonts w:ascii="宋体" w:hAnsi="宋体" w:hint="eastAsia"/>
              </w:rPr>
              <w:t xml:space="preserve">   ※呼吸系统防护：</w:t>
            </w:r>
            <w:r>
              <w:rPr>
                <w:rFonts w:ascii="宋体" w:hAnsi="宋体" w:hint="eastAsia"/>
                <w:szCs w:val="18"/>
              </w:rPr>
              <w:t>可能接触其粉尘时，必须佩戴防尘面具（全面罩）。紧急事态抢救或撤离时，应该佩戴空气呼吸器。</w:t>
            </w:r>
            <w:r>
              <w:rPr>
                <w:rFonts w:ascii="宋体" w:hAnsi="宋体" w:hint="eastAsia"/>
              </w:rPr>
              <w:t xml:space="preserve">    ※眼睛防护：</w:t>
            </w:r>
            <w:r>
              <w:rPr>
                <w:rFonts w:ascii="宋体" w:hAnsi="宋体" w:hint="eastAsia"/>
                <w:szCs w:val="18"/>
              </w:rPr>
              <w:t>呼吸系统防护中已作防护。</w:t>
            </w:r>
            <w:r>
              <w:rPr>
                <w:rFonts w:ascii="宋体" w:hAnsi="宋体" w:hint="eastAsia"/>
              </w:rPr>
              <w:t xml:space="preserve">    ※身体防护：</w:t>
            </w:r>
            <w:r>
              <w:rPr>
                <w:rFonts w:ascii="宋体" w:hAnsi="宋体" w:hint="eastAsia"/>
                <w:szCs w:val="18"/>
              </w:rPr>
              <w:t>穿胶布防毒衣。</w:t>
            </w:r>
            <w:r>
              <w:rPr>
                <w:rFonts w:ascii="宋体" w:hAnsi="宋体" w:hint="eastAsia"/>
              </w:rPr>
              <w:t xml:space="preserve">   ※手防护：</w:t>
            </w:r>
            <w:r>
              <w:rPr>
                <w:rFonts w:ascii="宋体" w:hAnsi="宋体" w:hint="eastAsia"/>
                <w:szCs w:val="18"/>
              </w:rPr>
              <w:t>戴橡胶手套。</w:t>
            </w:r>
            <w:r>
              <w:rPr>
                <w:rFonts w:ascii="宋体" w:hAnsi="宋体" w:hint="eastAsia"/>
              </w:rPr>
              <w:t xml:space="preserve">   ※其他：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工作现场禁止吸烟、进食和饮水。工作完毕，淋浴更衣。保持良好的卫生习惯。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自给正压式呼吸器，穿防毒服。用洁净的铲子收集于干燥、洁净、有盖的容器中，转移至安全场所。也可以用大量水冲洗，洗水稀释后放入废水系统。若大量泄漏，收集回收或运至废物处理场所处置。</w:t>
            </w:r>
          </w:p>
        </w:tc>
      </w:tr>
      <w:tr w:rsidR="0086549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98" w:rsidRDefault="00865498" w:rsidP="0090435F">
            <w:pPr>
              <w:spacing w:line="30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储存于阴凉、通风的库房。远离火种、热源。应与氧化剂、碱类、食用化学品分开存放，切忌混储。配备相应品种和数量的消防器材。储区应备有合适的材料收容泄漏物。应严格执行极毒物品“五双”管理制度。</w:t>
            </w:r>
          </w:p>
          <w:p w:rsidR="00865498" w:rsidRDefault="00865498" w:rsidP="0090435F">
            <w:pPr>
              <w:spacing w:line="30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铁路运输时应严格按照铁道部《危险货物运输规则》中的危险货物配装表进行配装。运输前应先检查包装容器是否完整、密封，运输过程中要确保容器不泄漏、不倒塌、不坠落、不损坏。严禁与酸类、氧化剂、食品及食品添加剂混运。运输途中应防曝晒、雨淋，防高温。</w:t>
            </w:r>
          </w:p>
        </w:tc>
      </w:tr>
    </w:tbl>
    <w:p w:rsidR="00865498" w:rsidRDefault="00865498" w:rsidP="00865498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98"/>
    <w:rsid w:val="00865498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73779-28E0-471A-A6AF-4CC2B0B2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65498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65498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>zyhq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